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line="330" w:lineRule="atLeast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color w:val="000000"/>
          <w:sz w:val="21"/>
          <w:szCs w:val="21"/>
        </w:rPr>
        <w:t>考试纲要</w:t>
      </w:r>
    </w:p>
    <w:bookmarkEnd w:id="0"/>
    <w:p>
      <w:pPr>
        <w:pStyle w:val="2"/>
        <w:keepNext w:val="0"/>
        <w:keepLines w:val="0"/>
        <w:widowControl/>
        <w:suppressLineNumbers w:val="0"/>
        <w:wordWrap w:val="0"/>
        <w:spacing w:line="330" w:lineRule="atLeas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　　</w:t>
      </w:r>
      <w:r>
        <w:rPr>
          <w:rStyle w:val="4"/>
          <w:rFonts w:hint="eastAsia" w:ascii="微软雅黑" w:hAnsi="微软雅黑" w:eastAsia="微软雅黑" w:cs="微软雅黑"/>
          <w:color w:val="000000"/>
          <w:sz w:val="18"/>
          <w:szCs w:val="18"/>
        </w:rPr>
        <w:t>卷一 基本证券及期货规例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第1章:香港金融业监管概览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第2章:相关香港法例及新《公司条例》的原则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第3章:《证券及期货条例》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第4章:发牌及注册与附属法例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第5章:业务操守与客户关系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第6章:业务运作与常规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第7章:在香港交易所的参与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第8章:企业融资及证监会的认可产品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第9章:市场失当行为及不当交易行为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330" w:lineRule="atLeas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　　</w:t>
      </w:r>
      <w:r>
        <w:rPr>
          <w:rStyle w:val="4"/>
          <w:rFonts w:hint="eastAsia" w:ascii="微软雅黑" w:hAnsi="微软雅黑" w:eastAsia="微软雅黑" w:cs="微软雅黑"/>
          <w:color w:val="000000"/>
          <w:sz w:val="18"/>
          <w:szCs w:val="18"/>
        </w:rPr>
        <w:t>卷二 证券规例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第1章: 监管架构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第2章: 相关附属法例的规定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第3章: 证券业务管理及监管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第4章: 买卖于香港联合交易所有限公司(“联交所”)交易的证券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第5章: 其他证券活动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第6章: 交易所买卖的期权及场外衍生工具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第7章: 市场失当行为及不当交易手法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330" w:lineRule="atLeas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　　</w:t>
      </w:r>
      <w:r>
        <w:rPr>
          <w:rStyle w:val="4"/>
          <w:rFonts w:hint="eastAsia" w:ascii="微软雅黑" w:hAnsi="微软雅黑" w:eastAsia="微软雅黑" w:cs="微软雅黑"/>
          <w:color w:val="000000"/>
          <w:sz w:val="18"/>
          <w:szCs w:val="18"/>
        </w:rPr>
        <w:t>卷六 资产管理规例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第1章:一般监管架构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第2章:后勤部门的监察事宜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第3章:资产管理规例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第4章:失当行为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330" w:lineRule="atLeas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　　</w:t>
      </w:r>
      <w:r>
        <w:rPr>
          <w:rStyle w:val="4"/>
          <w:rFonts w:hint="eastAsia" w:ascii="微软雅黑" w:hAnsi="微软雅黑" w:eastAsia="微软雅黑" w:cs="微软雅黑"/>
          <w:color w:val="000000"/>
          <w:sz w:val="18"/>
          <w:szCs w:val="18"/>
        </w:rPr>
        <w:t>卷十六 保荐人(代表)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第1章:一般架构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第2章:《上市规则》及首次公开招股上市程序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第3章:筹备首次公开招股的任务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第4章:筹备上市申请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第5章:尽职审查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　　第6章:于刊发招股章程后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33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03642"/>
    <w:rsid w:val="05D03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2017-05-05T08:18:00Z</dcterms:created>
  <dc:creator>Administrator</dc:creator>
  <cp:lastModifiedBy>Administrator</cp:lastModifiedBy>
  <dcterms:modified xsi:type="dcterms:W3CDTF">2017-05-05T08:18:26Z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