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F3F3F"/>
          <w:spacing w:val="0"/>
          <w:sz w:val="31"/>
          <w:szCs w:val="31"/>
          <w:shd w:val="clear" w:fill="FFFFFF"/>
        </w:rPr>
        <w:t>附件：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ascii="华文中宋" w:hAnsi="华文中宋" w:eastAsia="华文中宋" w:cs="华文中宋"/>
          <w:i w:val="0"/>
          <w:caps w:val="0"/>
          <w:color w:val="3F3F3F"/>
          <w:spacing w:val="0"/>
          <w:sz w:val="36"/>
          <w:szCs w:val="36"/>
          <w:shd w:val="clear" w:fill="FFFFFF"/>
        </w:rPr>
        <w:t>科学技术部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36"/>
          <w:szCs w:val="36"/>
          <w:shd w:val="clear" w:fill="FFFFFF"/>
        </w:rPr>
        <w:t>2019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F3F3F"/>
          <w:spacing w:val="0"/>
          <w:sz w:val="36"/>
          <w:szCs w:val="36"/>
          <w:shd w:val="clear" w:fill="FFFFFF"/>
        </w:rPr>
        <w:t>年拟录用参照公务员法管理事业单位工作人员名单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671"/>
        <w:gridCol w:w="495"/>
        <w:gridCol w:w="1816"/>
        <w:gridCol w:w="704"/>
        <w:gridCol w:w="728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3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国家科学技术奖励工作办公室主任科员以下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400110007001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王婷婷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10612301020613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中国农业大学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2017.07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至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2017.10   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北京市西城区学而思培训学校小学数学专职教师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2017.10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待业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                   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国家科学技术奖励工作办公室主任科员以下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400110007002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周晓宇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10611107131620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中国政法大学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E0EDB"/>
    <w:rsid w:val="3DB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2019-04-29T01:17:00Z</dcterms:created>
  <dc:creator>不栉进士-小娜娜</dc:creator>
  <cp:lastModifiedBy>不栉进士-小娜娜</cp:lastModifiedBy>
  <dcterms:modified xsi:type="dcterms:W3CDTF">2019-04-29T01:18:31Z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