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376" w:afterAutospacing="0" w:line="526" w:lineRule="atLeast"/>
        <w:ind w:left="0" w:right="0" w:firstLine="0"/>
        <w:jc w:val="center"/>
        <w:textAlignment w:val="top"/>
        <w:rPr>
          <w:rFonts w:ascii="仿宋" w:hAnsi="仿宋" w:eastAsia="仿宋" w:cs="仿宋"/>
          <w:i w:val="0"/>
          <w:caps w:val="0"/>
          <w:color w:val="444444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CB3332"/>
          <w:spacing w:val="0"/>
          <w:bdr w:val="none" w:color="auto" w:sz="0" w:space="0"/>
          <w:shd w:val="clear" w:fill="FFFFFF"/>
        </w:rPr>
        <w:t>新乡经开区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选聘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职位</w:t>
      </w:r>
    </w:p>
    <w:bookmarkEnd w:id="0"/>
    <w:tbl>
      <w:tblPr>
        <w:tblW w:w="8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78"/>
        <w:gridCol w:w="737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科局长级     （办事处主任）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43周岁以下（特别优秀的可适当放宽），中共党员，本科及以上学历（全日制学历优先），具有2年及以上乡镇（办事处）副科级及以上领导岗位工作经历。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副科局长级 （办事处副主任）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40周岁以下，全日制本科及以上学历，具有3年及以上乡镇（办事处）中层及以上岗位工作经历。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副科局长级（国土规划建设局总工程师）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40周岁以下，全日制本科及以上相关或相近专业学历，具有3年及以上国土、规划、建设相关机构工作经历，具有高级工程师职称。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副科局长级（商务局副局长）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40周岁以下，全日制本科及以上学历，具有3年及以上产业招商、产业发展相关工作经历。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6" w:lineRule="atLeast"/>
              <w:ind w:left="0" w:right="0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6" w:lineRule="atLeast"/>
        <w:ind w:left="0" w:right="0" w:firstLine="640"/>
        <w:jc w:val="left"/>
        <w:textAlignment w:val="top"/>
        <w:rPr>
          <w:rFonts w:hint="eastAsia" w:ascii="仿宋" w:hAnsi="仿宋" w:eastAsia="仿宋" w:cs="仿宋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592D"/>
    <w:rsid w:val="424D5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2019-06-03T11:48:00Z</dcterms:created>
  <dc:creator>ASUS</dc:creator>
  <cp:lastModifiedBy>ASUS</cp:lastModifiedBy>
  <dcterms:modified xsi:type="dcterms:W3CDTF">2019-06-03T11:48:57Z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