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2"/>
          <w:szCs w:val="22"/>
          <w:shd w:val="clear" w:fill="FFFFFF"/>
        </w:rPr>
        <w:t>2019年</w:t>
      </w:r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2"/>
          <w:szCs w:val="22"/>
          <w:shd w:val="clear" w:fill="FFFFFF"/>
        </w:rPr>
        <w:t>鹤壁市农业科学院招聘高层次人才面试成绩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tbl>
      <w:tblPr>
        <w:tblW w:w="2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830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岗位代码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报名序号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面试分数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000046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000008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000267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000189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000030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000089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000196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07010102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000100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sz w:val="20"/>
                <w:szCs w:val="20"/>
              </w:rPr>
              <w:t>88.4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3306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鹤壁市农业科学院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3306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2019年7月23日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5AA2"/>
    <w:rsid w:val="29715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2019-07-24T01:27:00Z</dcterms:created>
  <dc:creator>ASUS</dc:creator>
  <cp:lastModifiedBy>ASUS</cp:lastModifiedBy>
  <dcterms:modified xsi:type="dcterms:W3CDTF">2019-07-24T01:27:38Z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