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570" w:lineRule="atLeas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微软雅黑" w:hAnsi="微软雅黑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1</w:t>
      </w:r>
    </w:p>
    <w:p>
      <w:pPr>
        <w:widowControl/>
        <w:spacing w:before="0" w:beforeAutospacing="0" w:after="0" w:afterAutospacing="0" w:line="600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微软雅黑" w:hAnsi="微软雅黑" w:eastAsia="方正小标宋简体" w:cs="Times New Roman"/>
          <w:color w:val="000000"/>
          <w:kern w:val="0"/>
          <w:sz w:val="44"/>
          <w:szCs w:val="44"/>
        </w:rPr>
        <w:t>河南省</w:t>
      </w:r>
      <w:r>
        <w:rPr>
          <w:rFonts w:hint="eastAsia" w:ascii="微软雅黑" w:hAnsi="微软雅黑" w:eastAsia="方正小标宋简体" w:cs="Times New Roman"/>
          <w:color w:val="000000"/>
          <w:kern w:val="0"/>
          <w:sz w:val="44"/>
          <w:szCs w:val="44"/>
        </w:rPr>
        <w:t>有色金属</w:t>
      </w:r>
      <w:r>
        <w:rPr>
          <w:rFonts w:ascii="微软雅黑" w:hAnsi="微软雅黑" w:eastAsia="方正小标宋简体" w:cs="Times New Roman"/>
          <w:color w:val="000000"/>
          <w:kern w:val="0"/>
          <w:sz w:val="44"/>
          <w:szCs w:val="44"/>
        </w:rPr>
        <w:t>地</w:t>
      </w:r>
      <w:r>
        <w:rPr>
          <w:rFonts w:hint="eastAsia" w:ascii="微软雅黑" w:hAnsi="微软雅黑" w:eastAsia="方正小标宋简体" w:cs="Times New Roman"/>
          <w:color w:val="000000"/>
          <w:kern w:val="0"/>
          <w:sz w:val="44"/>
          <w:szCs w:val="44"/>
        </w:rPr>
        <w:t>质</w:t>
      </w:r>
      <w:r>
        <w:rPr>
          <w:rFonts w:ascii="微软雅黑" w:hAnsi="微软雅黑" w:eastAsia="方正小标宋简体" w:cs="Times New Roman"/>
          <w:color w:val="000000"/>
          <w:kern w:val="0"/>
          <w:sz w:val="44"/>
          <w:szCs w:val="44"/>
        </w:rPr>
        <w:t>矿</w:t>
      </w:r>
      <w:r>
        <w:rPr>
          <w:rFonts w:hint="eastAsia" w:ascii="微软雅黑" w:hAnsi="微软雅黑" w:eastAsia="方正小标宋简体" w:cs="Times New Roman"/>
          <w:color w:val="000000"/>
          <w:kern w:val="0"/>
          <w:sz w:val="44"/>
          <w:szCs w:val="44"/>
        </w:rPr>
        <w:t>产</w:t>
      </w:r>
      <w:r>
        <w:rPr>
          <w:rFonts w:ascii="微软雅黑" w:hAnsi="微软雅黑" w:eastAsia="方正小标宋简体" w:cs="Times New Roman"/>
          <w:color w:val="000000"/>
          <w:kern w:val="0"/>
          <w:sz w:val="44"/>
          <w:szCs w:val="44"/>
        </w:rPr>
        <w:t>局所属事业单位高层次人才需求信息表</w:t>
      </w:r>
    </w:p>
    <w:p>
      <w:pPr>
        <w:widowControl/>
        <w:spacing w:before="0" w:beforeAutospacing="0" w:after="0" w:afterAutospacing="0" w:line="600" w:lineRule="atLeas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</w:rPr>
        <w:t> </w:t>
      </w:r>
      <w:r>
        <w:rPr>
          <w:rFonts w:ascii="微软雅黑" w:hAnsi="微软雅黑" w:eastAsia="仿宋_GB2312" w:cs="Times New Roman"/>
          <w:color w:val="000000"/>
          <w:kern w:val="0"/>
          <w:sz w:val="28"/>
          <w:szCs w:val="28"/>
        </w:rPr>
        <w:t>主管部门：河南省</w:t>
      </w:r>
      <w:r>
        <w:rPr>
          <w:rFonts w:hint="eastAsia" w:ascii="微软雅黑" w:hAnsi="微软雅黑" w:eastAsia="仿宋_GB2312" w:cs="Times New Roman"/>
          <w:color w:val="000000"/>
          <w:kern w:val="0"/>
          <w:sz w:val="28"/>
          <w:szCs w:val="28"/>
        </w:rPr>
        <w:t>有色金属地质矿产局</w:t>
      </w: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</w:rPr>
        <w:t>                                               </w:t>
      </w:r>
    </w:p>
    <w:tbl>
      <w:tblPr>
        <w:tblStyle w:val="3"/>
        <w:tblW w:w="1399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1701"/>
        <w:gridCol w:w="851"/>
        <w:gridCol w:w="3402"/>
        <w:gridCol w:w="1701"/>
        <w:gridCol w:w="4315"/>
        <w:gridCol w:w="7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bookmarkStart w:id="0" w:name="_GoBack" w:colFirst="3" w:colLast="3"/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人数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业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2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第一地质大队</w:t>
            </w:r>
          </w:p>
          <w:p>
            <w:pPr>
              <w:widowControl/>
              <w:spacing w:before="0" w:beforeAutospacing="0" w:after="0" w:afterAutospacing="0"/>
              <w:ind w:firstLine="24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水文地质、分析化学、计算机科学与技术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4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1.硕士研究生年龄在35岁以下；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2.博士研究生年龄在40岁以下。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2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城市规划与设计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4315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1.本科必须具有相应专业高级工程师任职资格，年龄可放宽至45岁，具备注册城乡规划师职业资格的优先录用。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2.硕士研究生年龄在35岁以下；</w:t>
            </w:r>
          </w:p>
          <w:p>
            <w:pPr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3.博士研究生年龄在40岁以下。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2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431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2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第二地质大队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摄影测量与遥感、水文地质、矿产普查与勘探、环境工程（土壤方向）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4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1.硕士研究生年龄在35岁以下；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2.博士研究生年龄在40岁以下。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2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城市规划与设计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4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1.本科必须具有相应专业高级工程师任职资格，年龄可放宽至45岁，具备注册城乡规划师职业资格的优先录用。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2.硕士研究生年龄在35岁以下；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3.博士研究生年龄在40岁以下。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第三地质大队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水文学及水资源、土壤学、地图制图学与地理信息工程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4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1.硕士研究生年龄在35岁以下；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2.博士研究生年龄在40岁以下。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城市规划与设计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4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1.本科必须具有相应专业高级工程师任职资格，年龄可放宽至45岁，具备注册城乡规划师职业资格的优先录用。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2.硕士研究生年龄在35岁以下；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3.博士研究生年龄在40岁以下。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第四地质大队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环境地质学、钻井工程、矿产普查与勘探、水文地质学、固体地球物理学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4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1.硕士研究生年龄在35岁以下；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2.博士研究生年龄在40岁以下。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第五地质大队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材料科学与工程（矿物材料方向）、地球物理学、地球探测与信息技术、地球化学、大地测量与测量工程、摄影测量与遥感、地图制图学与地理信息工程、水文地质学（生态水文地质方向）、地质工程（地质灾害防治理论与方法；矿山环境评价与修复方）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4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1.硕士研究生年龄在35岁以下；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2.博士研究生年龄在40岁以下。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9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第六地质大队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化学工程与技术（化学、应用化学）、地下水科学与工程、地球物理学、地球化学、岩土工程、能源与动力工程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4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1.硕士研究生年龄在35岁以下；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2.博士研究生年龄在40岁以下。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9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地矿类及相关专业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1.本科必须具有相应专业高级工程师任职资格，年龄可放宽至45岁，具备注册城乡规划师职业资格的优先录用。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2.硕士研究生年龄在35岁以下；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3.博士研究生年龄在40岁以下。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第七地质大队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地球物理学、地球化学、地质学、地质资源与地质工程、测绘工程、环境科学与工程、地理信息系统、摄影测量与遥感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4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1.硕士研究生年龄在35岁以下；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2.博士研究生年龄在40岁以下。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12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城市规划与设计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1.本科必须具有相应专业高级工程师任职资格，年龄可放宽至45岁，具备注册城乡规划师职业资格的优先录用。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2.硕士研究生年龄在35岁以下；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3.博士研究生年龄在40岁以下。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地质勘查总院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地球物理学、地球化学、地质学、地质资源与地质工程、分析化学、土壤学、环境科学与工程、水文地质学、地图制图学与地理信息工程、大地测量学与测量工程、摄影测量与遥感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4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1.硕士研究生年龄在35岁以下；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2.博士研究生年龄在40岁以下。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3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张卿言</cp:lastModifiedBy>
  <dcterms:modified xsi:type="dcterms:W3CDTF">2019-10-17T01:42:25Z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