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280" w:type="dxa"/>
        <w:tblCellSpacing w:w="15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2618"/>
        <w:gridCol w:w="581"/>
        <w:gridCol w:w="2348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tblCellSpacing w:w="15" w:type="dxa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b/>
                <w:bCs/>
              </w:rPr>
              <w:t>信阳学院2020年教师招聘计划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tblCellSpacing w:w="15" w:type="dxa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招聘专业（方向）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学历或职称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硕士研究生及以上学历或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马克思主义中国化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中共党史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社会科学学院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宪法与行政法学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法律史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经济法学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环境与资源保护法学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中国古代史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博士研究生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世界史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博士研究生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课程与教学论（小学教育）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学科教学（美术）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擅长书法者优先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教育学原理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教育经济与管理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商学院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计算机专业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背景者优先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审计学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商务英语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数学与统计学院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大数据与人工智能学院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物联网工程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数据科学与大数据技术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理工学院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车辆工程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博士研究生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控制科学与工程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（智能机器人或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智能制造系统理论与技术）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优秀本科毕业生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本科阶段具有电子信息工程专业背景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控制科学与工程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（电气传动系统智能控制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或智能检测与过程控制）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优秀本科毕业生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本科阶段具有电气工程及其自动化专业背景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机械工程、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（机械设计制造及自动化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或机械电子工程）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优秀本科毕业生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本科阶段具有机械设计制造及自动化专业背景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土木工程学院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结构工程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工程力学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美术与设计学院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环境设计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美术学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数字媒体设计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或讲师及以上职称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音乐学院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中国音乐史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电脑音乐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和声学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声乐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或副教授及以上职称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公共体育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教学部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体育教育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（篮球、网球、健美操）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运动训练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（篮球、网球、足球、羽毛球）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硕士研究生及以上学历，参加省级以上比赛并获得名次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民族传统体育（武术）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硕士研究生及以上学历，参加省级以上比赛并获得名次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CellSpacing w:w="15" w:type="dxa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专职辅导员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思想政治教育、马克思主义理论、心理学类专业优先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tblCellSpacing w:w="15" w:type="dxa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专业技术岗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图书情报与档案管理类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F7DCD"/>
    <w:rsid w:val="0C1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2019-11-05T08:44:00Z</dcterms:created>
  <dc:creator>Auro＇s</dc:creator>
  <cp:lastModifiedBy>Auro＇s</cp:lastModifiedBy>
  <dcterms:modified xsi:type="dcterms:W3CDTF">2019-11-05T08:46:48Z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