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2"/>
          <w:sz w:val="44"/>
          <w:szCs w:val="44"/>
          <w:shd w:val="clear" w:fill="FFFFFF"/>
        </w:rPr>
        <w:t>河南省劳动干部学校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64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2019年公开招聘工作人员岗位信息表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640" w:firstLine="243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   </w:t>
      </w:r>
    </w:p>
    <w:tbl>
      <w:tblPr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550"/>
        <w:gridCol w:w="851"/>
        <w:gridCol w:w="5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sz w:val="32"/>
                <w:szCs w:val="32"/>
              </w:rPr>
              <w:t>招聘专业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sz w:val="32"/>
                <w:szCs w:val="32"/>
              </w:rPr>
              <w:t>人数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sz w:val="32"/>
                <w:szCs w:val="32"/>
              </w:rPr>
              <w:t>学历及要求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-8"/>
                <w:sz w:val="32"/>
                <w:szCs w:val="32"/>
              </w:rPr>
              <w:t>河南省劳动干部学校（5名）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德育课教师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基本原理等政治类专业，普通高等教育本科及以上学历，35岁以下（1984年7月1日以后出生），身体健康，品行好，具有一定的组织和管理能力，专业理论扎实，有较强的运用专业技能的能力；有较好的组织能力和语言表达能力，有较强的教学和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电子商务专业教师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、电子商务或相关专业，普通高等教育本科及以上学历，35岁以下（1984年7月1日以后出生），身体健康，品行好，具有一定的组织和管理能力，专业理论扎实，有较强的运用专业技能的能力；有较好的组织能力和语言表达能力，有较强的教学和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汽车维修专业教师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汽修、机械或相关专业，具有汽车维修高级职业资格证书，本科及以上学历，35岁以下（1984年7月1日以后出生），身体健康，品行好，具有一定的组织和管理能力，专业理论扎实，有较强的运用专业技能的能力；有较好的组织能力和语言表达能力，有较强的教学和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人力资源管理专业教师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力资源管理等管理类相关专业，本科及以上学历，35周岁以下（1984年7月1日以后出生），身体健康，品行好，具有一定的组织和管理能力，专业理论扎实，有较强的运用专业技能的能力；有较好的组织能力和语言表达能力，有较强的教学和管理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64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64E72"/>
    <w:rsid w:val="38C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2019-11-18T08:37:00Z</dcterms:created>
  <dc:creator>Auro＇s</dc:creator>
  <cp:lastModifiedBy>Auro＇s</cp:lastModifiedBy>
  <dcterms:modified xsi:type="dcterms:W3CDTF">2019-11-18T08:37:44Z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