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80" w:afterAutospacing="0" w:line="540" w:lineRule="atLeast"/>
        <w:ind w:left="0" w:right="0" w:firstLine="420"/>
        <w:jc w:val="center"/>
        <w:textAlignment w:val="top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2020年度新县就业见习基地统计表</w:t>
      </w:r>
    </w:p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55"/>
        <w:gridCol w:w="6445"/>
        <w:gridCol w:w="124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单    位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新县新集镇农村经济发展服务中心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新县产业集聚区管理委员会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新县中小企业公共服务中心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新县新鲜网络文化传媒有限公司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新县鄂豫皖苏区首府旧址管委会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新县许世友将军纪念馆  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新县创业贷款担保中心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新县香山湖管理区人力资源和社会保障服务所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新县陡山河乡人力资源和社会保障服务所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新县青少年新媒体服务中心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河南吉星对外劳务合作有限公司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新县苏河镇农民合作经济组织联合会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新县金兰山街道办事处人力资源和社会保障服务所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新县郭家河乡人力资源和社会保障服务所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新县劳务局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新县县委党校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新县八里畈镇人力资源和社会保障服务所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新县吴陈河镇人力资源和社会保障服务所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新县广播电视台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河南新斛生态农业科技有限公司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新县中心幼儿园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新县宏桥小学</w:t>
            </w:r>
            <w:bookmarkStart w:id="0" w:name="_GoBack"/>
            <w:bookmarkEnd w:id="0"/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大唐融合(新县)信息服务有限公司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县委统战部党外知识分子工作办公室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新县企业养老保险中心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新县就业服务中心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春泉智源科技信息有限公司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7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B5B5B"/>
                <w:spacing w:val="0"/>
                <w:sz w:val="24"/>
                <w:szCs w:val="24"/>
                <w:bdr w:val="none" w:color="auto" w:sz="0" w:space="0"/>
              </w:rPr>
              <w:t>河南羚锐制药股份有限公司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B5B5B"/>
                <w:spacing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41350"/>
    <w:rsid w:val="2A4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2020-07-02T08:20:00Z</dcterms:created>
  <dc:creator>未来</dc:creator>
  <cp:lastModifiedBy>未来</cp:lastModifiedBy>
  <dcterms:modified xsi:type="dcterms:W3CDTF">2020-07-02T08:21:02Z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